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Fagersta kommunfullmäktige</w:t>
      </w:r>
    </w:p>
    <w:p>
      <w:pPr>
        <w:pStyle w:val="Heading1"/>
      </w:pPr>
      <w:r>
        <w:t xml:space="preserve">Effektiv integration med språkkrav i Fagersta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Fagersta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Arbetsförmedlingen rapporterar 2025 att 42 % av utrikes födda i Fagersta saknar sysselsättning. Språkbrist är ett hinder.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Fagersta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på SFI-nivå C införs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arbetsnära praktik ska erbjudas inom 3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näringslivet för jobbförmedling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redovisas i arbetsmarknadsnämnden.</w:t>
      </w:r>
    </w:p>
    <w:p>
      <w:pPr>
        <w:spacing w:before="360"/>
      </w:pPr>
    </w:p>
    <w:p>
      <w:r>
        <w:t xml:space="preserve">Fagersta,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Fagersta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2026-06-06T01:48:21.325Z</dcterms:created>
  <dcterms:modified xsi:type="dcterms:W3CDTF">2026-06-06T01:48:21.325Z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